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48">
        <w:rPr>
          <w:rFonts w:ascii="Times New Roman" w:hAnsi="Times New Roman" w:cs="Times New Roman"/>
          <w:sz w:val="28"/>
          <w:szCs w:val="28"/>
        </w:rPr>
        <w:t>АДМИНИСТРАЦИЯ ХРЕБТОВСКОГО СЕЛЬСОВЕТА</w:t>
      </w: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48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4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920D48" w:rsidP="00920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8" w:rsidRPr="00920D48" w:rsidRDefault="00045CC2" w:rsidP="00920D48">
      <w:pPr>
        <w:tabs>
          <w:tab w:val="left" w:pos="405"/>
          <w:tab w:val="center" w:pos="4677"/>
        </w:tabs>
        <w:rPr>
          <w:rStyle w:val="FontStyle15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920D48" w:rsidRPr="00920D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0D48" w:rsidRPr="00920D48">
        <w:rPr>
          <w:rFonts w:ascii="Times New Roman" w:hAnsi="Times New Roman" w:cs="Times New Roman"/>
          <w:sz w:val="28"/>
          <w:szCs w:val="28"/>
        </w:rPr>
        <w:t xml:space="preserve">г   </w:t>
      </w:r>
      <w:r w:rsidR="00CB19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0D48" w:rsidRPr="00920D48">
        <w:rPr>
          <w:rFonts w:ascii="Times New Roman" w:hAnsi="Times New Roman" w:cs="Times New Roman"/>
          <w:sz w:val="28"/>
          <w:szCs w:val="28"/>
        </w:rPr>
        <w:t xml:space="preserve">      п. Хребтовый                         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920D48" w:rsidRPr="00920D48">
        <w:rPr>
          <w:rFonts w:ascii="Times New Roman" w:hAnsi="Times New Roman" w:cs="Times New Roman"/>
          <w:sz w:val="28"/>
          <w:szCs w:val="28"/>
        </w:rPr>
        <w:t>-п</w:t>
      </w:r>
    </w:p>
    <w:p w:rsidR="00920D48" w:rsidRDefault="00920D48" w:rsidP="00920D48">
      <w:pPr>
        <w:pStyle w:val="a3"/>
        <w:rPr>
          <w:rStyle w:val="FontStyle15"/>
          <w:sz w:val="24"/>
          <w:szCs w:val="24"/>
        </w:rPr>
      </w:pPr>
    </w:p>
    <w:p w:rsidR="00920D48" w:rsidRDefault="00920D48" w:rsidP="00920D48">
      <w:pPr>
        <w:pStyle w:val="a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Об утверждении Положения и состава</w:t>
      </w:r>
    </w:p>
    <w:p w:rsidR="00920D48" w:rsidRDefault="00920D48" w:rsidP="00920D48">
      <w:pPr>
        <w:pStyle w:val="a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комиссии по поступлению и выбытию </w:t>
      </w:r>
    </w:p>
    <w:p w:rsidR="00920D48" w:rsidRPr="00920D48" w:rsidRDefault="00920D48" w:rsidP="00920D48">
      <w:pPr>
        <w:pStyle w:val="a3"/>
        <w:rPr>
          <w:rFonts w:eastAsia="Times New Roman"/>
        </w:rPr>
      </w:pPr>
      <w:r>
        <w:rPr>
          <w:rStyle w:val="FontStyle15"/>
          <w:sz w:val="24"/>
          <w:szCs w:val="24"/>
        </w:rPr>
        <w:t xml:space="preserve"> активов администрации Хребтовского сельсовета</w:t>
      </w:r>
    </w:p>
    <w:p w:rsidR="00920D48" w:rsidRDefault="00920D48" w:rsidP="00920D48">
      <w:pPr>
        <w:spacing w:line="298" w:lineRule="exact"/>
        <w:ind w:right="1800"/>
        <w:rPr>
          <w:rFonts w:ascii="Times New Roman" w:eastAsia="Times New Roman" w:hAnsi="Times New Roman" w:cs="Times New Roman"/>
          <w:b/>
          <w:bCs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соответствии с Федеральным законом от 06 декабря 2011 г. №402-ФЗ «О бухгалтерском учете», Приказом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руководствуясь Уставом </w:t>
      </w:r>
      <w:r w:rsidR="00045CC2">
        <w:rPr>
          <w:rFonts w:ascii="Times New Roman" w:eastAsia="Calibri" w:hAnsi="Times New Roman" w:cs="Times New Roman"/>
          <w:color w:val="auto"/>
          <w:lang w:eastAsia="en-US" w:bidi="ar-SA"/>
        </w:rPr>
        <w:t>Хребтовского сельсовета.</w:t>
      </w:r>
      <w:proofErr w:type="gramEnd"/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ПОСТАНОВЛЯЮ:</w:t>
      </w:r>
    </w:p>
    <w:p w:rsidR="00920D48" w:rsidRDefault="00920D48" w:rsidP="00920D48">
      <w:pPr>
        <w:widowControl/>
        <w:numPr>
          <w:ilvl w:val="0"/>
          <w:numId w:val="1"/>
        </w:numPr>
        <w:tabs>
          <w:tab w:val="left" w:pos="370"/>
        </w:tabs>
        <w:autoSpaceDE w:val="0"/>
        <w:autoSpaceDN w:val="0"/>
        <w:adjustRightInd w:val="0"/>
        <w:spacing w:before="278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Утвердить Положение о создании комиссии по поступлению и выбытию активов администрации  Хребтовского сельсовета (Приложение 1).</w:t>
      </w:r>
    </w:p>
    <w:p w:rsidR="00920D48" w:rsidRDefault="00920D48" w:rsidP="00920D48">
      <w:pPr>
        <w:widowControl/>
        <w:numPr>
          <w:ilvl w:val="0"/>
          <w:numId w:val="1"/>
        </w:numPr>
        <w:tabs>
          <w:tab w:val="left" w:pos="370"/>
        </w:tabs>
        <w:autoSpaceDE w:val="0"/>
        <w:autoSpaceDN w:val="0"/>
        <w:adjustRightInd w:val="0"/>
        <w:spacing w:before="264" w:after="200" w:line="276" w:lineRule="auto"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Утвердить состав постоянно действующей комиссии по поступлению и выбытию  активов (Приложение 2).</w:t>
      </w:r>
    </w:p>
    <w:p w:rsidR="00920D48" w:rsidRDefault="00920D48" w:rsidP="00920D48">
      <w:pPr>
        <w:widowControl/>
        <w:numPr>
          <w:ilvl w:val="0"/>
          <w:numId w:val="2"/>
        </w:numPr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Постановление вступа</w:t>
      </w:r>
      <w:r w:rsidR="00045CC2">
        <w:rPr>
          <w:rFonts w:ascii="Times New Roman" w:eastAsia="Times New Roman" w:hAnsi="Times New Roman" w:cs="Times New Roman"/>
          <w:color w:val="auto"/>
          <w:lang w:bidi="ar-SA"/>
        </w:rPr>
        <w:t>ет в силу с 1 января 2023 года.</w:t>
      </w: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5CC2" w:rsidRDefault="00045CC2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Глава Хребтовского сельсовета                                                            О.А. Черных</w:t>
      </w: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</w:t>
      </w: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5CC2" w:rsidRDefault="00045CC2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ПРИЛОЖЕНИЕ № 1</w:t>
      </w:r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к  Постановлению  администрации </w:t>
      </w:r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Хребтовского сельсовета </w:t>
      </w:r>
    </w:p>
    <w:p w:rsidR="00920D48" w:rsidRDefault="00045CC2" w:rsidP="00920D48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№ 53-п </w:t>
      </w:r>
      <w:r w:rsidR="00920D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от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26.12.2022</w:t>
      </w:r>
      <w:r w:rsidR="00920D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г.     </w:t>
      </w:r>
    </w:p>
    <w:p w:rsidR="00920D48" w:rsidRDefault="00920D48" w:rsidP="00920D4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3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4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 создании комиссии по поступлению и выбытию активов администрации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4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Хребтовского сельсовета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1.Общие положения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0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1.1 Комиссия по поступлению и выбытию активов администрации Хребтовского сельсовета (далее по тексту - Комиссия) создается в соответствии с Постановлением Правительства РФ от 14.10.2010 № 834,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его применению» (далее Инструкция 157н), Приказом Минфина Российской Федерации от 15.12.2010 г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Методическими указаниями по их применению) (далее П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риказ № 173н</w:t>
      </w:r>
      <w:r>
        <w:rPr>
          <w:rFonts w:ascii="Times New Roman" w:eastAsia="Times New Roman" w:hAnsi="Times New Roman" w:cs="Times New Roman"/>
          <w:color w:val="auto"/>
          <w:lang w:bidi="ar-SA"/>
        </w:rPr>
        <w:t>) и Постановлением Правительства РФ от 09 января 2014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врученных от его реализации» и действует на постоянной основе.</w:t>
      </w:r>
    </w:p>
    <w:p w:rsidR="00920D48" w:rsidRDefault="00920D48" w:rsidP="00920D48">
      <w:pPr>
        <w:widowControl/>
        <w:tabs>
          <w:tab w:val="left" w:pos="461"/>
        </w:tabs>
        <w:autoSpaceDE w:val="0"/>
        <w:autoSpaceDN w:val="0"/>
        <w:adjustRightInd w:val="0"/>
        <w:spacing w:before="9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1.2.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Состав Комиссии утверждается Постановлением администрации  Хребтовского сельсовета</w:t>
      </w:r>
    </w:p>
    <w:p w:rsidR="00920D48" w:rsidRDefault="00920D48" w:rsidP="00920D48">
      <w:pPr>
        <w:widowControl/>
        <w:tabs>
          <w:tab w:val="left" w:pos="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1.3.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Комиссию возглавляет председатель, который осуществляет общее руководство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920D48" w:rsidRDefault="00920D48" w:rsidP="00920D48">
      <w:pPr>
        <w:widowControl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Комиссия проводит заседания по мере необходимости, но не реже 1 раза в год.</w:t>
      </w:r>
    </w:p>
    <w:p w:rsidR="00920D48" w:rsidRDefault="00920D48" w:rsidP="00920D48">
      <w:pPr>
        <w:widowControl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before="96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Срок рассмотрения Комиссией представленных ей документов не должен превышать 30 дней.</w:t>
      </w:r>
    </w:p>
    <w:p w:rsidR="00920D48" w:rsidRDefault="00920D48" w:rsidP="00920D48">
      <w:pPr>
        <w:widowControl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Решения Комиссии считаются правомочными, если на ее заседании присутствует не менее 2/3 от общего числа ее членов.</w:t>
      </w:r>
    </w:p>
    <w:p w:rsidR="00920D48" w:rsidRDefault="00920D48" w:rsidP="00920D48">
      <w:pPr>
        <w:widowControl/>
        <w:tabs>
          <w:tab w:val="left" w:pos="53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1.7.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Комиссия принимает решение по   поступлению   и   выбытию основных средств и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нематериальных   активов, определяет стоимость подарков полученных муниципальными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служащими в связи с протокольными мероприятиями, служебными командировками и другими официальными мероприятиями.</w:t>
      </w:r>
    </w:p>
    <w:p w:rsidR="00920D48" w:rsidRDefault="00920D48" w:rsidP="00920D48">
      <w:pPr>
        <w:widowControl/>
        <w:tabs>
          <w:tab w:val="left" w:pos="581"/>
        </w:tabs>
        <w:autoSpaceDE w:val="0"/>
        <w:autoSpaceDN w:val="0"/>
        <w:adjustRightInd w:val="0"/>
        <w:spacing w:before="96"/>
        <w:ind w:firstLine="8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1.8.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 поступлении объекта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основных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средств материально-ответственным лицом в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присутствии уполномоченного члена Комиссии на данный объект наносится инвентарный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номер краской или иным способом, обеспечивающим сохранность маркировки.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1.9.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Комиссия  проводит инвентаризацию основных средств, нематериальных активов   и материальных запасов в случаях, когда законодательством РФ предусмотрено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обязательное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проведение инвентаризации, за исключением инвентаризации перед составлением годовой бюджетной отчетности, осуществляет оценку стоимости подарка. 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Основные задачи и полномочия Комиссии</w:t>
      </w:r>
    </w:p>
    <w:p w:rsidR="00920D48" w:rsidRDefault="00920D48" w:rsidP="00920D48">
      <w:pPr>
        <w:widowControl/>
        <w:numPr>
          <w:ilvl w:val="0"/>
          <w:numId w:val="4"/>
        </w:numPr>
        <w:tabs>
          <w:tab w:val="left" w:pos="485"/>
        </w:tabs>
        <w:autoSpaceDE w:val="0"/>
        <w:autoSpaceDN w:val="0"/>
        <w:adjustRightInd w:val="0"/>
        <w:spacing w:before="202"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Целью работы Комиссии является подготовка и принятие коллегиальных решений о поступлении, выбытии, внутреннем перемещении движимого и недвижимого имущества, находящегося в собственности и на праве оперативного управления, рассматривает Уведомления гражданских служащих на основании представленных документов (технический паспорт, гарантийный талон, инструкция по эксплуатации и т.п.) или, если таковые отсутствуют, на основании цены, которая при сравнимых обстоятельствах обычно взимается за аналогичные товары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(ст.424 Гражданского Кодекса РФ).</w:t>
      </w:r>
    </w:p>
    <w:p w:rsidR="00920D48" w:rsidRDefault="00920D48" w:rsidP="00920D48">
      <w:pPr>
        <w:widowControl/>
        <w:numPr>
          <w:ilvl w:val="0"/>
          <w:numId w:val="4"/>
        </w:numPr>
        <w:tabs>
          <w:tab w:val="left" w:pos="485"/>
        </w:tabs>
        <w:autoSpaceDE w:val="0"/>
        <w:autoSpaceDN w:val="0"/>
        <w:adjustRightInd w:val="0"/>
        <w:spacing w:before="216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Комиссия принимает решения по следующим вопросам:</w:t>
      </w:r>
    </w:p>
    <w:p w:rsidR="00920D48" w:rsidRDefault="00920D48" w:rsidP="00920D48">
      <w:pPr>
        <w:widowControl/>
        <w:tabs>
          <w:tab w:val="left" w:pos="192"/>
        </w:tabs>
        <w:autoSpaceDE w:val="0"/>
        <w:autoSpaceDN w:val="0"/>
        <w:adjustRightInd w:val="0"/>
        <w:spacing w:before="101"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об отнесении объектов имущества к основным средствам и определении признака отнесения к особо ценному движимому имуществу;</w:t>
      </w:r>
    </w:p>
    <w:p w:rsidR="00920D48" w:rsidRDefault="00920D48" w:rsidP="00920D48">
      <w:pPr>
        <w:widowControl/>
        <w:tabs>
          <w:tab w:val="left" w:pos="394"/>
        </w:tabs>
        <w:autoSpaceDE w:val="0"/>
        <w:autoSpaceDN w:val="0"/>
        <w:adjustRightInd w:val="0"/>
        <w:spacing w:before="91"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 сроке полезного использования, поступающих основных средств и нематериальных активов;</w:t>
      </w:r>
    </w:p>
    <w:p w:rsidR="00920D48" w:rsidRDefault="00920D48" w:rsidP="00920D48">
      <w:pPr>
        <w:widowControl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об определении группы аналитического учета, кодов по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ОКОФ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основных средств и нематериальных активов;</w:t>
      </w:r>
    </w:p>
    <w:p w:rsidR="00920D48" w:rsidRDefault="00920D48" w:rsidP="00920D48">
      <w:pPr>
        <w:widowControl/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первоначальной (фактической) стоимости принимаемых к учету основных средств, нематериальных активов;</w:t>
      </w:r>
    </w:p>
    <w:p w:rsidR="00920D48" w:rsidRDefault="00920D48" w:rsidP="00920D48">
      <w:pPr>
        <w:widowControl/>
        <w:tabs>
          <w:tab w:val="left" w:pos="202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об определении текущей рыночной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:rsidR="00920D48" w:rsidRDefault="00920D48" w:rsidP="00920D48">
      <w:pPr>
        <w:widowControl/>
        <w:tabs>
          <w:tab w:val="left" w:pos="331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3 ООО руб. включительно, учитываемых 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учете;</w:t>
      </w:r>
    </w:p>
    <w:p w:rsidR="00920D48" w:rsidRDefault="00920D48" w:rsidP="00920D48">
      <w:pPr>
        <w:widowControl/>
        <w:tabs>
          <w:tab w:val="left" w:pos="211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920D48" w:rsidRDefault="00920D48" w:rsidP="00920D48">
      <w:pPr>
        <w:widowControl/>
        <w:tabs>
          <w:tab w:val="left" w:pos="312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920D48" w:rsidRDefault="00920D48" w:rsidP="00920D48">
      <w:pPr>
        <w:widowControl/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списании (выбытии) основных средств, нематериальных активов в установленном порядке, в том числе объектов движимого имущества стоимостью до 3 ООО руб. включительно, учитываемых 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учете;</w:t>
      </w:r>
    </w:p>
    <w:p w:rsidR="00920D48" w:rsidRDefault="00920D48" w:rsidP="00920D48">
      <w:pPr>
        <w:widowControl/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:rsidR="00920D48" w:rsidRDefault="00920D48" w:rsidP="00920D48">
      <w:pPr>
        <w:widowControl/>
        <w:numPr>
          <w:ilvl w:val="0"/>
          <w:numId w:val="6"/>
        </w:numPr>
        <w:tabs>
          <w:tab w:val="left" w:pos="206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принятия подарка от муниципальных служащих в собственность администрации, если стоимость подарка превышает три тысячи рублей.</w:t>
      </w:r>
    </w:p>
    <w:p w:rsidR="00920D48" w:rsidRDefault="00920D48" w:rsidP="00920D48">
      <w:pPr>
        <w:widowControl/>
        <w:tabs>
          <w:tab w:val="left" w:pos="206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 Порядок принятия решений Комиссией</w:t>
      </w:r>
    </w:p>
    <w:p w:rsidR="00920D48" w:rsidRDefault="00920D48" w:rsidP="00920D48">
      <w:pPr>
        <w:widowControl/>
        <w:tabs>
          <w:tab w:val="left" w:pos="586"/>
        </w:tabs>
        <w:autoSpaceDE w:val="0"/>
        <w:autoSpaceDN w:val="0"/>
        <w:adjustRightInd w:val="0"/>
        <w:spacing w:before="197"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3.1.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Решение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 об отнесении объекта имущества к основным средствам,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нематериальным активам, материальным запасам осуществляется на основании Инструкции №157н.</w:t>
      </w:r>
    </w:p>
    <w:p w:rsidR="00920D48" w:rsidRDefault="00920D48" w:rsidP="00920D48">
      <w:pPr>
        <w:widowControl/>
        <w:tabs>
          <w:tab w:val="left" w:pos="422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3.2.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Решение Комиссии о сроке их полезного использования, об отнесении к соответствующей группе аналитического учета и определении кода ОКОФ принимается на основании:</w:t>
      </w:r>
    </w:p>
    <w:p w:rsidR="00920D48" w:rsidRDefault="00920D48" w:rsidP="00920D48">
      <w:pPr>
        <w:widowControl/>
        <w:tabs>
          <w:tab w:val="left" w:pos="206"/>
        </w:tabs>
        <w:autoSpaceDE w:val="0"/>
        <w:autoSpaceDN w:val="0"/>
        <w:adjustRightInd w:val="0"/>
        <w:spacing w:before="96"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информации, содержащейся в законодательстве РФ, устанавливающем сроки полезного использования имущества в целях начисления амортизации.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По объектам основных средств, включенным согласно Постановлению Правительства РФ от 01.01.2002 № 1 в амортизационные группы, срок полезного использования определяется по наибольшему сроку;</w:t>
      </w:r>
      <w:proofErr w:type="gramEnd"/>
    </w:p>
    <w:p w:rsidR="00920D48" w:rsidRDefault="00920D48" w:rsidP="00920D48">
      <w:pPr>
        <w:widowControl/>
        <w:tabs>
          <w:tab w:val="left" w:pos="182"/>
        </w:tabs>
        <w:autoSpaceDE w:val="0"/>
        <w:autoSpaceDN w:val="0"/>
        <w:adjustRightInd w:val="0"/>
        <w:spacing w:before="53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рекомендаций, содержащихся в документах производителя, при отсутствии информации в нормативных правовых актах на основании решения комиссии учреждения по поступлению и выбытию активов, принятого с учетом:</w:t>
      </w:r>
    </w:p>
    <w:p w:rsidR="00920D48" w:rsidRDefault="00920D48" w:rsidP="00920D48">
      <w:pPr>
        <w:widowControl/>
        <w:tabs>
          <w:tab w:val="left" w:pos="274"/>
        </w:tabs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1)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ожидаемой производительности или мощности, ожидаемого физического износа, зависящих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от режима эксплуатации, естественных условий и влияния агрессивной среды, системы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проведения ремонта, гарантийного и договорного срока использования и других ограничений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использования;</w:t>
      </w:r>
    </w:p>
    <w:p w:rsidR="00920D48" w:rsidRDefault="00920D48" w:rsidP="00920D48">
      <w:pPr>
        <w:widowControl/>
        <w:tabs>
          <w:tab w:val="left" w:pos="470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2)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данных   предыдущих   балансодержателей   (пользователей)   основных   средств    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нематериальных активов о сроке их фактической эксплуатации  и  степени износа - при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поступлении   объектов,  бывших  в  эксплуатации  в  государственных  (муниципальных)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учреждениях, государственных органах (указанных в актах приема-передачи).</w:t>
      </w:r>
    </w:p>
    <w:p w:rsidR="00920D48" w:rsidRDefault="00920D48" w:rsidP="00920D48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557"/>
        </w:tabs>
        <w:autoSpaceDE w:val="0"/>
        <w:autoSpaceDN w:val="0"/>
        <w:adjustRightInd w:val="0"/>
        <w:spacing w:before="134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3.3.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Решение Комиссии о первоначальной (фактической) стоимости поступающих в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учреждение на праве оперативного управления основных средств и нематериальных активов принимается на основании следующих документов: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before="202"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 п.),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представляется материально ответственным лицом в копиях либо, по требованию Комиссии, в подлинниках;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отчетов об оценке независимых оценщиков (по основным средствам и нематериальным активам, принимаемым в соответствии с Инструкцией 157н, по рыночной стоимости на дату принятия к учету);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данных о ценах на аналогичные материальные ценности, полученных в письменной форме от организаций-изготовителей; сведений об уровне цен, имеющихся у органов государственной статистики,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Комиссии); </w:t>
      </w:r>
    </w:p>
    <w:p w:rsidR="00920D48" w:rsidRDefault="00920D48" w:rsidP="00920D48">
      <w:pPr>
        <w:widowControl/>
        <w:numPr>
          <w:ilvl w:val="0"/>
          <w:numId w:val="7"/>
        </w:numPr>
        <w:tabs>
          <w:tab w:val="left" w:pos="182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уведомлений о получении подарка.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8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По итогам рассмотрения уведомлений о получении подарка комиссия принимает одно из следующих решений:</w:t>
      </w:r>
    </w:p>
    <w:p w:rsidR="00920D48" w:rsidRDefault="00920D48" w:rsidP="00920D48">
      <w:pPr>
        <w:widowControl/>
        <w:numPr>
          <w:ilvl w:val="0"/>
          <w:numId w:val="8"/>
        </w:numPr>
        <w:tabs>
          <w:tab w:val="left" w:pos="307"/>
        </w:tabs>
        <w:autoSpaceDE w:val="0"/>
        <w:autoSpaceDN w:val="0"/>
        <w:adjustRightInd w:val="0"/>
        <w:spacing w:before="192"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 передаче подарка в собственность администрации, в случае, если стоимость подарка превышает три тысячи рублей;</w:t>
      </w:r>
    </w:p>
    <w:p w:rsidR="00920D48" w:rsidRDefault="00920D48" w:rsidP="00920D48">
      <w:pPr>
        <w:widowControl/>
        <w:numPr>
          <w:ilvl w:val="0"/>
          <w:numId w:val="8"/>
        </w:numPr>
        <w:tabs>
          <w:tab w:val="left" w:pos="307"/>
        </w:tabs>
        <w:autoSpaceDE w:val="0"/>
        <w:autoSpaceDN w:val="0"/>
        <w:adjustRightInd w:val="0"/>
        <w:spacing w:before="192" w:after="200" w:line="27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 возвращении подарка получившему его лицу, в случае, если стоимость подарка не превышает три тысячи рублей.</w:t>
      </w:r>
    </w:p>
    <w:p w:rsidR="00920D48" w:rsidRDefault="00920D48" w:rsidP="00920D48">
      <w:pPr>
        <w:widowControl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before="202"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фактическая) 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bidi="ar-SA"/>
        </w:rPr>
        <w:t>стоимость, принимается на основании оформленных первичных учетных документов, составленных по унифицированным формам в соответствии с Инструкцией№173н.</w:t>
      </w:r>
    </w:p>
    <w:p w:rsidR="00920D48" w:rsidRDefault="00920D48" w:rsidP="00920D48">
      <w:pPr>
        <w:widowControl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before="192" w:after="200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53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-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 п.), данных бухгалтерского учета и установление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установление конкретных причин списания (выбытия) (износ физический, моральный; авария; нарушение условий эксплуатации; ликвидация при реконструкции; другие причины);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поручение ответственным исполнителям организации 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инвентарь.</w:t>
      </w:r>
    </w:p>
    <w:p w:rsidR="00920D48" w:rsidRDefault="00920D48" w:rsidP="00920D48">
      <w:pPr>
        <w:widowControl/>
        <w:tabs>
          <w:tab w:val="left" w:pos="456"/>
        </w:tabs>
        <w:autoSpaceDE w:val="0"/>
        <w:autoSpaceDN w:val="0"/>
        <w:adjustRightInd w:val="0"/>
        <w:spacing w:before="18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3.6.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Решение Комиссии о списании (выбытии) основных средств, нематериальных активов принимается с учетом: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before="86"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наличия акта об аварии или заверенной его копии, а также пояснений причастных лиц о причинах, вызвавших аварию, - при списании основных средств, выбывших вследствие аварий;</w:t>
      </w:r>
    </w:p>
    <w:p w:rsidR="00920D48" w:rsidRDefault="00920D48" w:rsidP="00920D48">
      <w:pPr>
        <w:widowControl/>
        <w:numPr>
          <w:ilvl w:val="0"/>
          <w:numId w:val="10"/>
        </w:numPr>
        <w:tabs>
          <w:tab w:val="left" w:pos="187"/>
        </w:tabs>
        <w:autoSpaceDE w:val="0"/>
        <w:autoSpaceDN w:val="0"/>
        <w:adjustRightInd w:val="0"/>
        <w:spacing w:after="200" w:line="274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наличия иных документов, подтверждающих факт преждевременного выбытия имущества из владения, пользования и распоряжения;</w:t>
      </w:r>
    </w:p>
    <w:p w:rsidR="00920D48" w:rsidRDefault="00920D48" w:rsidP="00920D48">
      <w:pPr>
        <w:widowControl/>
        <w:tabs>
          <w:tab w:val="left" w:pos="374"/>
        </w:tabs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-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возврат подарка, стоимость которого не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превышает трех тысяч рублей производится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течение пяти рабочих дней со дня его оценки комиссией по акту возврата.</w:t>
      </w:r>
    </w:p>
    <w:p w:rsidR="00920D48" w:rsidRDefault="00920D48" w:rsidP="00920D48">
      <w:pPr>
        <w:widowControl/>
        <w:tabs>
          <w:tab w:val="left" w:pos="456"/>
        </w:tabs>
        <w:autoSpaceDE w:val="0"/>
        <w:autoSpaceDN w:val="0"/>
        <w:adjustRightInd w:val="0"/>
        <w:spacing w:before="91"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3.7.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документации, утвержденным Инструкцией 173н:</w:t>
      </w:r>
    </w:p>
    <w:p w:rsidR="00920D48" w:rsidRDefault="00920D48" w:rsidP="00920D48">
      <w:pPr>
        <w:widowControl/>
        <w:tabs>
          <w:tab w:val="left" w:pos="576"/>
        </w:tabs>
        <w:autoSpaceDE w:val="0"/>
        <w:autoSpaceDN w:val="0"/>
        <w:adjustRightInd w:val="0"/>
        <w:spacing w:before="206" w:line="269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3.8.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Решение Комиссии, принятое на заседании, оформляется протоколом, который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подписывают председатель и члены Комиссии. Протоколы хранятся в соответствии с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br/>
        <w:t>Федеральным законом от 22.10.2004 № 125-ФЗ «Об архивном деле в Российской Федерации»</w:t>
      </w: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3.9.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Оформленные в установленном порядке документы Комиссия передает в бухгалтерию для отражения в учете.</w:t>
      </w: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ПРИЛОЖЕНИЕ № 2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к</w:t>
      </w:r>
      <w:proofErr w:type="gramEnd"/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Постановлению  администрации </w:t>
      </w:r>
    </w:p>
    <w:p w:rsidR="00920D48" w:rsidRDefault="00920D48" w:rsidP="00920D48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45CC2">
        <w:rPr>
          <w:rFonts w:ascii="Times New Roman" w:eastAsia="Calibri" w:hAnsi="Times New Roman" w:cs="Times New Roman"/>
          <w:color w:val="auto"/>
          <w:lang w:eastAsia="en-US" w:bidi="ar-SA"/>
        </w:rPr>
        <w:t>Хребтовского сельсовета</w:t>
      </w:r>
    </w:p>
    <w:p w:rsidR="00920D48" w:rsidRDefault="00045CC2" w:rsidP="00045CC2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53-п</w:t>
      </w:r>
      <w:r w:rsidR="00920D4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от 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26.12.2022г.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120"/>
        <w:ind w:left="403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20"/>
        <w:ind w:left="403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СОСТАВ</w:t>
      </w:r>
    </w:p>
    <w:p w:rsidR="00920D48" w:rsidRDefault="00920D48" w:rsidP="00920D48">
      <w:pPr>
        <w:widowControl/>
        <w:autoSpaceDE w:val="0"/>
        <w:autoSpaceDN w:val="0"/>
        <w:adjustRightInd w:val="0"/>
        <w:spacing w:before="235" w:line="280" w:lineRule="exact"/>
        <w:ind w:left="2285" w:right="149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комиссии по поступлению и выбытию активов администрации </w:t>
      </w:r>
      <w:r w:rsidR="00045CC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Хребтовского сельсовета</w:t>
      </w:r>
    </w:p>
    <w:p w:rsidR="00920D48" w:rsidRDefault="00920D48" w:rsidP="00920D48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before="1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Председатель комиссии:</w:t>
      </w:r>
    </w:p>
    <w:p w:rsidR="00920D48" w:rsidRDefault="00045CC2" w:rsidP="00920D48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Беланова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Надежда Викторовна</w:t>
      </w:r>
      <w:r w:rsidR="00920D4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–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специалист 1 категории </w:t>
      </w:r>
    </w:p>
    <w:p w:rsidR="00920D48" w:rsidRDefault="00920D48" w:rsidP="00920D48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Члены комиссии:</w:t>
      </w:r>
    </w:p>
    <w:p w:rsidR="00920D48" w:rsidRDefault="00045CC2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Мясникова Наталья Алексеевн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главный бухгалтер;</w:t>
      </w:r>
    </w:p>
    <w:p w:rsidR="00045CC2" w:rsidRDefault="00045CC2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Колпакова Вера Алексеевна-бухгалтер.</w:t>
      </w:r>
    </w:p>
    <w:p w:rsidR="00045CC2" w:rsidRDefault="00045CC2" w:rsidP="00920D48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02"/>
        </w:tabs>
        <w:autoSpaceDE w:val="0"/>
        <w:autoSpaceDN w:val="0"/>
        <w:adjustRightInd w:val="0"/>
        <w:spacing w:before="197"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D48" w:rsidRDefault="00920D48" w:rsidP="00920D48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</w:t>
      </w: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.</w:t>
      </w:r>
    </w:p>
    <w:p w:rsidR="00920D48" w:rsidRDefault="00920D48" w:rsidP="00920D48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20D48" w:rsidRDefault="00920D48" w:rsidP="00920D48">
      <w:pPr>
        <w:spacing w:line="298" w:lineRule="exact"/>
        <w:ind w:right="18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0D48" w:rsidRDefault="00920D48" w:rsidP="00920D48">
      <w:pPr>
        <w:rPr>
          <w:sz w:val="20"/>
          <w:szCs w:val="20"/>
        </w:rPr>
      </w:pPr>
    </w:p>
    <w:p w:rsidR="00920D48" w:rsidRDefault="00920D48" w:rsidP="00920D48">
      <w:pPr>
        <w:spacing w:line="230" w:lineRule="exact"/>
      </w:pPr>
    </w:p>
    <w:p w:rsidR="00323A32" w:rsidRDefault="00323A32"/>
    <w:sectPr w:rsidR="00323A32" w:rsidSect="0032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6A4F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B33A7"/>
    <w:multiLevelType w:val="singleLevel"/>
    <w:tmpl w:val="1A1860F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4870E4"/>
    <w:multiLevelType w:val="singleLevel"/>
    <w:tmpl w:val="5B4CE542"/>
    <w:lvl w:ilvl="0">
      <w:start w:val="4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ED6D99"/>
    <w:multiLevelType w:val="singleLevel"/>
    <w:tmpl w:val="8DF69B1A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EF478A7"/>
    <w:multiLevelType w:val="singleLevel"/>
    <w:tmpl w:val="02DC2A14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804C7D"/>
    <w:multiLevelType w:val="singleLevel"/>
    <w:tmpl w:val="1DDCC478"/>
    <w:lvl w:ilvl="0">
      <w:start w:val="4"/>
      <w:numFmt w:val="decimal"/>
      <w:lvlText w:val="3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4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D48"/>
    <w:rsid w:val="00045CC2"/>
    <w:rsid w:val="00323A32"/>
    <w:rsid w:val="004B31AF"/>
    <w:rsid w:val="00920D48"/>
    <w:rsid w:val="00CB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920D48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2023-03-14T09:05:00Z</cp:lastPrinted>
  <dcterms:created xsi:type="dcterms:W3CDTF">2023-03-14T08:45:00Z</dcterms:created>
  <dcterms:modified xsi:type="dcterms:W3CDTF">2023-03-14T09:08:00Z</dcterms:modified>
</cp:coreProperties>
</file>